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72" w:rsidRDefault="00F0401F" w:rsidP="00F0401F">
      <w:pPr>
        <w:spacing w:before="100" w:beforeAutospacing="1" w:after="100" w:afterAutospacing="1" w:line="360" w:lineRule="auto"/>
        <w:rPr>
          <w:rFonts w:ascii="Times New Roman" w:hAnsi="Times New Roman" w:cs="Times New Roman"/>
        </w:rPr>
      </w:pPr>
      <w:r>
        <w:rPr>
          <w:rFonts w:ascii="Times New Roman" w:hAnsi="Times New Roman" w:cs="Times New Roman"/>
          <w:noProof/>
          <w:lang w:eastAsia="pl-PL"/>
        </w:rPr>
        <w:drawing>
          <wp:inline distT="0" distB="0" distL="0" distR="0" wp14:anchorId="174964BC" wp14:editId="75AA3A97">
            <wp:extent cx="5760720" cy="14953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95320"/>
                    </a:xfrm>
                    <a:prstGeom prst="rect">
                      <a:avLst/>
                    </a:prstGeom>
                    <a:noFill/>
                  </pic:spPr>
                </pic:pic>
              </a:graphicData>
            </a:graphic>
          </wp:inline>
        </w:drawing>
      </w:r>
    </w:p>
    <w:p w:rsidR="00574672" w:rsidRDefault="00574672" w:rsidP="00574672">
      <w:pPr>
        <w:widowControl w:val="0"/>
        <w:ind w:left="-284"/>
        <w:jc w:val="right"/>
        <w:rPr>
          <w:rFonts w:ascii="Calibri" w:eastAsia="Times New Roman" w:hAnsi="Calibri" w:cs="Calibri"/>
          <w:snapToGrid w:val="0"/>
          <w:lang w:eastAsia="pl-PL"/>
        </w:rPr>
      </w:pPr>
      <w:r w:rsidRPr="002A6CCA">
        <w:rPr>
          <w:rFonts w:ascii="Calibri" w:eastAsia="Times New Roman" w:hAnsi="Calibri" w:cs="Calibri"/>
          <w:snapToGrid w:val="0"/>
          <w:lang w:eastAsia="pl-PL"/>
        </w:rPr>
        <w:t xml:space="preserve">Opole, dnia </w:t>
      </w:r>
      <w:r w:rsidR="00A837B7">
        <w:rPr>
          <w:rFonts w:ascii="Calibri" w:eastAsia="Times New Roman" w:hAnsi="Calibri" w:cs="Calibri"/>
          <w:snapToGrid w:val="0"/>
          <w:lang w:eastAsia="pl-PL"/>
        </w:rPr>
        <w:t>27.</w:t>
      </w:r>
      <w:r w:rsidR="00F0401F">
        <w:rPr>
          <w:rFonts w:ascii="Calibri" w:eastAsia="Times New Roman" w:hAnsi="Calibri" w:cs="Calibri"/>
          <w:snapToGrid w:val="0"/>
          <w:lang w:eastAsia="pl-PL"/>
        </w:rPr>
        <w:t>06</w:t>
      </w:r>
      <w:r>
        <w:rPr>
          <w:rFonts w:ascii="Calibri" w:eastAsia="Times New Roman" w:hAnsi="Calibri" w:cs="Calibri"/>
          <w:snapToGrid w:val="0"/>
          <w:lang w:eastAsia="pl-PL"/>
        </w:rPr>
        <w:t>.202</w:t>
      </w:r>
      <w:r w:rsidR="00F0401F">
        <w:rPr>
          <w:rFonts w:ascii="Calibri" w:eastAsia="Times New Roman" w:hAnsi="Calibri" w:cs="Calibri"/>
          <w:snapToGrid w:val="0"/>
          <w:lang w:eastAsia="pl-PL"/>
        </w:rPr>
        <w:t>2</w:t>
      </w:r>
      <w:r>
        <w:rPr>
          <w:rFonts w:ascii="Calibri" w:eastAsia="Times New Roman" w:hAnsi="Calibri" w:cs="Calibri"/>
          <w:snapToGrid w:val="0"/>
          <w:lang w:eastAsia="pl-PL"/>
        </w:rPr>
        <w:t xml:space="preserve"> r. </w:t>
      </w:r>
    </w:p>
    <w:p w:rsidR="00574672" w:rsidRPr="002A6CCA" w:rsidRDefault="00574672" w:rsidP="00574672">
      <w:pPr>
        <w:rPr>
          <w:rFonts w:ascii="Calibri" w:eastAsia="Times New Roman" w:hAnsi="Calibri" w:cs="Calibri"/>
          <w:b/>
          <w:snapToGrid w:val="0"/>
          <w:lang w:eastAsia="pl-PL"/>
        </w:rPr>
      </w:pPr>
      <w:r w:rsidRPr="002A6CCA">
        <w:rPr>
          <w:rFonts w:ascii="Calibri" w:eastAsia="Times New Roman" w:hAnsi="Calibri" w:cs="Calibri"/>
          <w:b/>
          <w:snapToGrid w:val="0"/>
          <w:lang w:eastAsia="pl-PL"/>
        </w:rPr>
        <w:t>Zamawiający:</w:t>
      </w:r>
    </w:p>
    <w:p w:rsidR="00574672" w:rsidRPr="002A6CCA" w:rsidRDefault="00574672" w:rsidP="00574672">
      <w:pPr>
        <w:suppressAutoHyphens/>
        <w:jc w:val="both"/>
        <w:rPr>
          <w:rFonts w:ascii="Calibri" w:eastAsia="Calibri" w:hAnsi="Calibri" w:cs="Calibri"/>
          <w:lang w:eastAsia="zh-CN"/>
        </w:rPr>
      </w:pPr>
      <w:r w:rsidRPr="002A6CCA">
        <w:rPr>
          <w:rFonts w:ascii="Calibri" w:eastAsia="Calibri" w:hAnsi="Calibri" w:cs="Calibri"/>
          <w:lang w:eastAsia="zh-CN"/>
        </w:rPr>
        <w:t>Województwo Opolskie</w:t>
      </w:r>
      <w:r w:rsidR="00A27A8F">
        <w:rPr>
          <w:rFonts w:ascii="Calibri" w:eastAsia="Calibri" w:hAnsi="Calibri" w:cs="Calibri"/>
          <w:lang w:eastAsia="zh-CN"/>
        </w:rPr>
        <w:t xml:space="preserve"> z siedzibą:</w:t>
      </w:r>
      <w:r w:rsidRPr="002A6CCA">
        <w:rPr>
          <w:rFonts w:ascii="Calibri" w:eastAsia="Calibri" w:hAnsi="Calibri" w:cs="Calibri"/>
          <w:lang w:eastAsia="zh-CN"/>
        </w:rPr>
        <w:t xml:space="preserve">  </w:t>
      </w:r>
    </w:p>
    <w:p w:rsidR="00574672" w:rsidRPr="002A6CCA" w:rsidRDefault="00574672" w:rsidP="00574672">
      <w:pPr>
        <w:suppressAutoHyphens/>
        <w:jc w:val="both"/>
        <w:rPr>
          <w:rFonts w:ascii="Calibri" w:eastAsia="Calibri" w:hAnsi="Calibri" w:cs="Calibri"/>
          <w:lang w:eastAsia="zh-CN"/>
        </w:rPr>
      </w:pPr>
      <w:r w:rsidRPr="002A6CCA">
        <w:rPr>
          <w:rFonts w:ascii="Calibri" w:eastAsia="Calibri" w:hAnsi="Calibri" w:cs="Calibri"/>
          <w:lang w:eastAsia="zh-CN"/>
        </w:rPr>
        <w:t xml:space="preserve">Urząd Marszałkowski </w:t>
      </w:r>
    </w:p>
    <w:p w:rsidR="00574672" w:rsidRPr="002A6CCA" w:rsidRDefault="00574672" w:rsidP="00574672">
      <w:pPr>
        <w:suppressAutoHyphens/>
        <w:jc w:val="both"/>
        <w:rPr>
          <w:rFonts w:ascii="Calibri" w:eastAsia="Calibri" w:hAnsi="Calibri" w:cs="Calibri"/>
          <w:lang w:eastAsia="zh-CN"/>
        </w:rPr>
      </w:pPr>
      <w:r w:rsidRPr="002A6CCA">
        <w:rPr>
          <w:rFonts w:ascii="Calibri" w:eastAsia="Calibri" w:hAnsi="Calibri" w:cs="Calibri"/>
          <w:lang w:eastAsia="zh-CN"/>
        </w:rPr>
        <w:t xml:space="preserve">Województwa Opolskiego </w:t>
      </w:r>
    </w:p>
    <w:p w:rsidR="00574672" w:rsidRDefault="00574672" w:rsidP="00574672">
      <w:pPr>
        <w:suppressAutoHyphens/>
        <w:jc w:val="both"/>
        <w:rPr>
          <w:rFonts w:ascii="Calibri" w:eastAsia="Calibri" w:hAnsi="Calibri" w:cs="Calibri"/>
          <w:lang w:eastAsia="zh-CN"/>
        </w:rPr>
      </w:pPr>
      <w:r w:rsidRPr="002A6CCA">
        <w:rPr>
          <w:rFonts w:ascii="Calibri" w:eastAsia="Calibri" w:hAnsi="Calibri" w:cs="Calibri"/>
          <w:lang w:eastAsia="zh-CN"/>
        </w:rPr>
        <w:t>ul. Piastowska 14, 45 – 082 Opole</w:t>
      </w:r>
    </w:p>
    <w:p w:rsidR="00574672" w:rsidRDefault="00574672" w:rsidP="00574672">
      <w:pPr>
        <w:suppressAutoHyphens/>
        <w:jc w:val="both"/>
        <w:rPr>
          <w:rFonts w:ascii="Calibri" w:eastAsia="Calibri" w:hAnsi="Calibri" w:cs="Calibri"/>
          <w:lang w:eastAsia="zh-CN"/>
        </w:rPr>
      </w:pPr>
    </w:p>
    <w:p w:rsidR="00574672" w:rsidRDefault="00574672" w:rsidP="00574672">
      <w:pPr>
        <w:jc w:val="right"/>
        <w:rPr>
          <w:rFonts w:ascii="Calibri" w:eastAsia="Times New Roman" w:hAnsi="Calibri" w:cs="Calibri"/>
          <w:b/>
          <w:snapToGrid w:val="0"/>
          <w:lang w:eastAsia="pl-PL"/>
        </w:rPr>
      </w:pPr>
      <w:r w:rsidRPr="00574672">
        <w:rPr>
          <w:rFonts w:ascii="Calibri" w:eastAsia="Times New Roman" w:hAnsi="Calibri" w:cs="Calibri"/>
          <w:b/>
          <w:snapToGrid w:val="0"/>
          <w:lang w:eastAsia="pl-PL"/>
        </w:rPr>
        <w:t>Wykonawcy, którzy złożyli oferty</w:t>
      </w:r>
    </w:p>
    <w:p w:rsidR="00574672" w:rsidRDefault="00574672" w:rsidP="00574672">
      <w:pPr>
        <w:jc w:val="right"/>
        <w:rPr>
          <w:rFonts w:ascii="Calibri" w:eastAsia="Times New Roman" w:hAnsi="Calibri" w:cs="Calibri"/>
          <w:b/>
          <w:snapToGrid w:val="0"/>
          <w:lang w:eastAsia="pl-PL"/>
        </w:rPr>
      </w:pPr>
      <w:r w:rsidRPr="00574672">
        <w:rPr>
          <w:rFonts w:ascii="Calibri" w:eastAsia="Times New Roman" w:hAnsi="Calibri" w:cs="Calibri"/>
          <w:b/>
          <w:snapToGrid w:val="0"/>
          <w:lang w:eastAsia="pl-PL"/>
        </w:rPr>
        <w:t>w postępowaniu</w:t>
      </w:r>
    </w:p>
    <w:p w:rsidR="00574672" w:rsidRPr="002A6CCA" w:rsidRDefault="00574672" w:rsidP="00574672">
      <w:pPr>
        <w:suppressAutoHyphens/>
        <w:jc w:val="both"/>
        <w:rPr>
          <w:rFonts w:ascii="Calibri" w:eastAsia="Calibri" w:hAnsi="Calibri" w:cs="Calibri"/>
          <w:lang w:eastAsia="zh-CN"/>
        </w:rPr>
      </w:pPr>
    </w:p>
    <w:p w:rsidR="00574672" w:rsidRPr="002A6CCA" w:rsidRDefault="00574672" w:rsidP="00574672">
      <w:pPr>
        <w:autoSpaceDE w:val="0"/>
        <w:autoSpaceDN w:val="0"/>
        <w:jc w:val="center"/>
        <w:rPr>
          <w:rFonts w:ascii="Calibri" w:hAnsi="Calibri" w:cs="Calibri"/>
          <w:b/>
          <w:bCs/>
          <w:lang w:eastAsia="pl-PL"/>
        </w:rPr>
      </w:pPr>
      <w:r>
        <w:rPr>
          <w:rFonts w:ascii="Calibri" w:hAnsi="Calibri" w:cs="Calibri"/>
          <w:b/>
          <w:bCs/>
          <w:lang w:eastAsia="pl-PL"/>
        </w:rPr>
        <w:t xml:space="preserve">ZAWIADOMIENIE </w:t>
      </w:r>
      <w:r w:rsidRPr="002A6CCA">
        <w:rPr>
          <w:rFonts w:ascii="Calibri" w:hAnsi="Calibri" w:cs="Calibri"/>
          <w:b/>
          <w:bCs/>
          <w:lang w:eastAsia="pl-PL"/>
        </w:rPr>
        <w:t xml:space="preserve">O </w:t>
      </w:r>
      <w:r>
        <w:rPr>
          <w:rFonts w:ascii="Calibri" w:hAnsi="Calibri" w:cs="Calibri"/>
          <w:b/>
          <w:bCs/>
          <w:lang w:eastAsia="pl-PL"/>
        </w:rPr>
        <w:t xml:space="preserve">UNIEWAŻNIENIU POSTĘPOWANIA </w:t>
      </w:r>
    </w:p>
    <w:p w:rsidR="00574672" w:rsidRPr="002A6CCA" w:rsidRDefault="00574672" w:rsidP="00E36349">
      <w:pPr>
        <w:spacing w:line="276" w:lineRule="auto"/>
        <w:jc w:val="both"/>
        <w:rPr>
          <w:rFonts w:ascii="Calibri" w:eastAsia="Times New Roman" w:hAnsi="Calibri" w:cs="Calibri"/>
          <w:lang w:eastAsia="pl-PL"/>
        </w:rPr>
      </w:pPr>
    </w:p>
    <w:p w:rsidR="00F0401F" w:rsidRPr="00EA2BED" w:rsidRDefault="00F0401F" w:rsidP="00E36349">
      <w:pPr>
        <w:spacing w:line="276" w:lineRule="auto"/>
        <w:rPr>
          <w:rFonts w:eastAsia="Calibri" w:cstheme="minorHAnsi"/>
          <w:b/>
          <w:iCs/>
          <w:color w:val="002060"/>
        </w:rPr>
      </w:pPr>
      <w:r w:rsidRPr="00EA2BED">
        <w:rPr>
          <w:rFonts w:eastAsia="Calibri" w:cstheme="minorHAnsi"/>
        </w:rPr>
        <w:t xml:space="preserve">Dotyczy: </w:t>
      </w:r>
      <w:r w:rsidRPr="00EA2BED">
        <w:rPr>
          <w:rFonts w:ascii="Calibri" w:hAnsi="Calibri"/>
        </w:rPr>
        <w:t>„</w:t>
      </w:r>
      <w:r w:rsidRPr="00EA2BED">
        <w:rPr>
          <w:rFonts w:ascii="Calibri" w:hAnsi="Calibri" w:cs="Calibri"/>
        </w:rPr>
        <w:t>Dostawa kamer termowizyjnych wraz z licencją na oprogramowanie do raportowania badań termowizyjnych budynków w ramach realizacji projektu LIFE_AQP_Opolskie_2019.PL - LIFE19 GIE / PL / 000398”</w:t>
      </w:r>
      <w:r w:rsidRPr="00EA2BED">
        <w:rPr>
          <w:rFonts w:cstheme="minorHAnsi"/>
        </w:rPr>
        <w:t>, postępowanie nr</w:t>
      </w:r>
      <w:r w:rsidRPr="00EA2BED">
        <w:rPr>
          <w:rFonts w:eastAsia="Calibri" w:cstheme="minorHAnsi"/>
          <w:bCs/>
          <w:iCs/>
          <w:color w:val="B2A1C7" w:themeColor="accent4" w:themeTint="99"/>
        </w:rPr>
        <w:t xml:space="preserve"> </w:t>
      </w:r>
      <w:r w:rsidRPr="00EA2BED">
        <w:rPr>
          <w:rFonts w:cstheme="minorHAnsi"/>
        </w:rPr>
        <w:t>DOA-ZP.272.6.2022</w:t>
      </w:r>
      <w:r>
        <w:rPr>
          <w:rFonts w:cstheme="minorHAnsi"/>
        </w:rPr>
        <w:t>.</w:t>
      </w:r>
    </w:p>
    <w:p w:rsidR="002F0524" w:rsidRPr="00574672" w:rsidRDefault="002F0524" w:rsidP="00E36349">
      <w:pPr>
        <w:shd w:val="clear" w:color="auto" w:fill="FFFFFF"/>
        <w:autoSpaceDE w:val="0"/>
        <w:autoSpaceDN w:val="0"/>
        <w:adjustRightInd w:val="0"/>
        <w:spacing w:before="100" w:beforeAutospacing="1" w:after="100" w:afterAutospacing="1" w:line="276" w:lineRule="auto"/>
        <w:rPr>
          <w:rFonts w:eastAsia="Calibri" w:cstheme="minorHAnsi"/>
          <w:lang w:eastAsia="zh-CN"/>
        </w:rPr>
      </w:pPr>
      <w:r w:rsidRPr="00574672">
        <w:rPr>
          <w:rFonts w:ascii="Calibri" w:eastAsia="Calibri" w:hAnsi="Calibri" w:cs="Calibri"/>
          <w:lang w:eastAsia="zh-CN"/>
        </w:rPr>
        <w:t xml:space="preserve">Na podstawie z art. 260 </w:t>
      </w:r>
      <w:r w:rsidR="0086618B" w:rsidRPr="00EA102C">
        <w:rPr>
          <w:rFonts w:ascii="Calibri" w:eastAsia="Calibri" w:hAnsi="Calibri" w:cs="Calibri"/>
          <w:lang w:eastAsia="zh-CN"/>
        </w:rPr>
        <w:t>ust</w:t>
      </w:r>
      <w:r w:rsidR="00EA102C" w:rsidRPr="00EA102C">
        <w:rPr>
          <w:rFonts w:ascii="Calibri" w:eastAsia="Calibri" w:hAnsi="Calibri" w:cs="Calibri"/>
          <w:lang w:eastAsia="zh-CN"/>
        </w:rPr>
        <w:t>.</w:t>
      </w:r>
      <w:r w:rsidR="0086618B" w:rsidRPr="00EA102C">
        <w:rPr>
          <w:rFonts w:ascii="Calibri" w:eastAsia="Calibri" w:hAnsi="Calibri" w:cs="Calibri"/>
          <w:lang w:eastAsia="zh-CN"/>
        </w:rPr>
        <w:t xml:space="preserve"> 1</w:t>
      </w:r>
      <w:r w:rsidR="00811C37">
        <w:rPr>
          <w:rFonts w:ascii="Calibri" w:eastAsia="Calibri" w:hAnsi="Calibri" w:cs="Calibri"/>
          <w:lang w:eastAsia="zh-CN"/>
        </w:rPr>
        <w:t xml:space="preserve"> oraz ust. 2 </w:t>
      </w:r>
      <w:r w:rsidRPr="00EA102C">
        <w:rPr>
          <w:rFonts w:ascii="Calibri" w:eastAsia="Calibri" w:hAnsi="Calibri" w:cs="Calibri"/>
          <w:lang w:eastAsia="zh-CN"/>
        </w:rPr>
        <w:t>ustawy</w:t>
      </w:r>
      <w:r w:rsidRPr="00574672">
        <w:rPr>
          <w:rFonts w:ascii="Calibri" w:eastAsia="Calibri" w:hAnsi="Calibri" w:cs="Calibri"/>
          <w:lang w:eastAsia="zh-CN"/>
        </w:rPr>
        <w:t xml:space="preserve"> z dnia 11 września 2019 r. – Prawo zamówień publicznych </w:t>
      </w:r>
      <w:r w:rsidR="00A27A8F">
        <w:rPr>
          <w:rFonts w:ascii="Calibri" w:eastAsia="Calibri" w:hAnsi="Calibri" w:cs="Calibri"/>
          <w:lang w:eastAsia="zh-CN"/>
        </w:rPr>
        <w:t>(</w:t>
      </w:r>
      <w:proofErr w:type="spellStart"/>
      <w:r w:rsidR="00A27A8F">
        <w:rPr>
          <w:rFonts w:ascii="Calibri" w:eastAsia="Calibri" w:hAnsi="Calibri" w:cs="Calibri"/>
          <w:lang w:eastAsia="zh-CN"/>
        </w:rPr>
        <w:t>t.j</w:t>
      </w:r>
      <w:proofErr w:type="spellEnd"/>
      <w:r w:rsidR="00A27A8F">
        <w:rPr>
          <w:rFonts w:ascii="Calibri" w:eastAsia="Calibri" w:hAnsi="Calibri" w:cs="Calibri"/>
          <w:lang w:eastAsia="zh-CN"/>
        </w:rPr>
        <w:t xml:space="preserve">. </w:t>
      </w:r>
      <w:r w:rsidRPr="00574672">
        <w:rPr>
          <w:rFonts w:ascii="Calibri" w:eastAsia="Calibri" w:hAnsi="Calibri" w:cs="Calibri"/>
          <w:lang w:eastAsia="zh-CN"/>
        </w:rPr>
        <w:t>Dz.U. z 20</w:t>
      </w:r>
      <w:r w:rsidR="00574672" w:rsidRPr="00574672">
        <w:rPr>
          <w:rFonts w:ascii="Calibri" w:eastAsia="Calibri" w:hAnsi="Calibri" w:cs="Calibri"/>
          <w:lang w:eastAsia="zh-CN"/>
        </w:rPr>
        <w:t>21</w:t>
      </w:r>
      <w:r w:rsidRPr="00574672">
        <w:rPr>
          <w:rFonts w:ascii="Calibri" w:eastAsia="Calibri" w:hAnsi="Calibri" w:cs="Calibri"/>
          <w:lang w:eastAsia="zh-CN"/>
        </w:rPr>
        <w:t xml:space="preserve"> r. poz. </w:t>
      </w:r>
      <w:r w:rsidR="00574672" w:rsidRPr="00574672">
        <w:rPr>
          <w:rFonts w:ascii="Calibri" w:eastAsia="Calibri" w:hAnsi="Calibri" w:cs="Calibri"/>
          <w:lang w:eastAsia="zh-CN"/>
        </w:rPr>
        <w:t xml:space="preserve">1129 </w:t>
      </w:r>
      <w:r w:rsidRPr="00574672">
        <w:rPr>
          <w:rFonts w:ascii="Calibri" w:eastAsia="Calibri" w:hAnsi="Calibri" w:cs="Calibri"/>
          <w:lang w:eastAsia="zh-CN"/>
        </w:rPr>
        <w:t xml:space="preserve">ze zm.; zwana dalej: </w:t>
      </w:r>
      <w:r w:rsidR="00AC733E">
        <w:rPr>
          <w:rFonts w:ascii="Calibri" w:eastAsia="Calibri" w:hAnsi="Calibri" w:cs="Calibri"/>
          <w:lang w:eastAsia="zh-CN"/>
        </w:rPr>
        <w:t>ustawą Pzp</w:t>
      </w:r>
      <w:r w:rsidRPr="00574672">
        <w:rPr>
          <w:rFonts w:ascii="Calibri" w:eastAsia="Calibri" w:hAnsi="Calibri" w:cs="Calibri"/>
          <w:lang w:eastAsia="zh-CN"/>
        </w:rPr>
        <w:t>), Zamawiający zawiadamia równocześnie wszystkich Wykonawców</w:t>
      </w:r>
      <w:r w:rsidR="00AC733E">
        <w:rPr>
          <w:rFonts w:ascii="Calibri" w:eastAsia="Calibri" w:hAnsi="Calibri" w:cs="Calibri"/>
          <w:lang w:eastAsia="zh-CN"/>
        </w:rPr>
        <w:t xml:space="preserve"> o unieważnieniu postępowania o </w:t>
      </w:r>
      <w:r w:rsidRPr="00574672">
        <w:rPr>
          <w:rFonts w:ascii="Calibri" w:eastAsia="Calibri" w:hAnsi="Calibri" w:cs="Calibri"/>
          <w:lang w:eastAsia="zh-CN"/>
        </w:rPr>
        <w:t xml:space="preserve">udzielenie zamówienia </w:t>
      </w:r>
      <w:r w:rsidR="00E36349">
        <w:rPr>
          <w:rFonts w:eastAsia="Calibri" w:cstheme="minorHAnsi"/>
          <w:lang w:eastAsia="zh-CN"/>
        </w:rPr>
        <w:t xml:space="preserve">publicznego oraz </w:t>
      </w:r>
      <w:r w:rsidR="00E36349">
        <w:rPr>
          <w:rFonts w:ascii="Calibri" w:eastAsia="Calibri" w:hAnsi="Calibri" w:cs="Calibri"/>
          <w:lang w:eastAsia="zh-CN"/>
        </w:rPr>
        <w:t>udostępnia niezwłocznie na stronie prowadzonego postępowania informacje o unieważnieniu postępowania o </w:t>
      </w:r>
      <w:r w:rsidR="00E36349" w:rsidRPr="00574672">
        <w:rPr>
          <w:rFonts w:ascii="Calibri" w:eastAsia="Calibri" w:hAnsi="Calibri" w:cs="Calibri"/>
          <w:lang w:eastAsia="zh-CN"/>
        </w:rPr>
        <w:t xml:space="preserve">udzielenie zamówienia </w:t>
      </w:r>
      <w:r w:rsidR="00E36349" w:rsidRPr="00574672">
        <w:rPr>
          <w:rFonts w:eastAsia="Calibri" w:cstheme="minorHAnsi"/>
          <w:lang w:eastAsia="zh-CN"/>
        </w:rPr>
        <w:t>publicznego</w:t>
      </w:r>
      <w:r w:rsidR="00E36349">
        <w:rPr>
          <w:rFonts w:ascii="Calibri" w:eastAsia="Calibri" w:hAnsi="Calibri" w:cs="Calibri"/>
          <w:lang w:eastAsia="zh-CN"/>
        </w:rPr>
        <w:t xml:space="preserve">.  </w:t>
      </w:r>
    </w:p>
    <w:p w:rsidR="002F0524" w:rsidRPr="00574672" w:rsidRDefault="002F0524" w:rsidP="00E36349">
      <w:pPr>
        <w:spacing w:before="100" w:beforeAutospacing="1" w:after="100" w:afterAutospacing="1" w:line="276" w:lineRule="auto"/>
        <w:jc w:val="both"/>
        <w:rPr>
          <w:rFonts w:cstheme="minorHAnsi"/>
          <w:b/>
          <w:bCs/>
          <w:u w:val="single"/>
        </w:rPr>
      </w:pPr>
      <w:r w:rsidRPr="00574672">
        <w:rPr>
          <w:rFonts w:cstheme="minorHAnsi"/>
          <w:b/>
          <w:bCs/>
          <w:u w:val="single"/>
        </w:rPr>
        <w:t>Uzasadnienie prawne:</w:t>
      </w:r>
    </w:p>
    <w:p w:rsidR="00F0401F" w:rsidRPr="0097658B" w:rsidRDefault="00F0401F" w:rsidP="00E36349">
      <w:pPr>
        <w:spacing w:before="100" w:beforeAutospacing="1" w:after="100" w:afterAutospacing="1" w:line="276" w:lineRule="auto"/>
        <w:rPr>
          <w:rFonts w:cstheme="minorHAnsi"/>
        </w:rPr>
      </w:pPr>
      <w:r w:rsidRPr="00574672">
        <w:rPr>
          <w:rFonts w:cstheme="minorHAnsi"/>
        </w:rPr>
        <w:t xml:space="preserve">Art. </w:t>
      </w:r>
      <w:r>
        <w:rPr>
          <w:rFonts w:cstheme="minorHAnsi"/>
        </w:rPr>
        <w:t>255 pkt 3</w:t>
      </w:r>
      <w:r w:rsidR="00547AAB">
        <w:rPr>
          <w:rFonts w:cstheme="minorHAnsi"/>
        </w:rPr>
        <w:t>)</w:t>
      </w:r>
      <w:r>
        <w:rPr>
          <w:rFonts w:cstheme="minorHAnsi"/>
        </w:rPr>
        <w:t xml:space="preserve"> ustawy </w:t>
      </w:r>
      <w:proofErr w:type="spellStart"/>
      <w:r>
        <w:rPr>
          <w:rFonts w:cstheme="minorHAnsi"/>
        </w:rPr>
        <w:t>Pzp</w:t>
      </w:r>
      <w:proofErr w:type="spellEnd"/>
      <w:r>
        <w:rPr>
          <w:rFonts w:cstheme="minorHAnsi"/>
        </w:rPr>
        <w:t xml:space="preserve">, tj. Zamawiający unieważnia postępowanie o udzielenie zamówienia publicznego, jeżeli </w:t>
      </w:r>
      <w:r w:rsidRPr="00376190">
        <w:rPr>
          <w:rFonts w:cstheme="minorHAnsi"/>
        </w:rPr>
        <w:t>cena lub koszt najkorzystniejszej oferty lub oferta z najniższą ceną przewyższa kwotę,</w:t>
      </w:r>
      <w:r>
        <w:rPr>
          <w:rFonts w:cstheme="minorHAnsi"/>
        </w:rPr>
        <w:t xml:space="preserve"> </w:t>
      </w:r>
      <w:r w:rsidRPr="00376190">
        <w:rPr>
          <w:rFonts w:cstheme="minorHAnsi"/>
        </w:rPr>
        <w:t>którą zamawiający zamierza przeznaczyć na sfinansowanie zamówienia, chyba że</w:t>
      </w:r>
      <w:r>
        <w:rPr>
          <w:rFonts w:cstheme="minorHAnsi"/>
        </w:rPr>
        <w:t xml:space="preserve"> </w:t>
      </w:r>
      <w:r w:rsidRPr="00376190">
        <w:rPr>
          <w:rFonts w:cstheme="minorHAnsi"/>
        </w:rPr>
        <w:t>zamawiający może zwiększyć tę kwotę do ceny lub k</w:t>
      </w:r>
      <w:r>
        <w:rPr>
          <w:rFonts w:cstheme="minorHAnsi"/>
        </w:rPr>
        <w:t xml:space="preserve">osztu najkorzystniejszej oferty.  </w:t>
      </w:r>
    </w:p>
    <w:p w:rsidR="002F0524" w:rsidRPr="00574672" w:rsidRDefault="002F0524" w:rsidP="00E36349">
      <w:pPr>
        <w:spacing w:before="100" w:beforeAutospacing="1" w:after="100" w:afterAutospacing="1" w:line="276" w:lineRule="auto"/>
        <w:jc w:val="both"/>
        <w:rPr>
          <w:rFonts w:cstheme="minorHAnsi"/>
          <w:b/>
          <w:bCs/>
          <w:u w:val="single"/>
        </w:rPr>
      </w:pPr>
      <w:r w:rsidRPr="00574672">
        <w:rPr>
          <w:rFonts w:cstheme="minorHAnsi"/>
          <w:b/>
          <w:bCs/>
          <w:u w:val="single"/>
        </w:rPr>
        <w:t>Uzasadnienie faktyczne:</w:t>
      </w:r>
    </w:p>
    <w:p w:rsidR="00E36349" w:rsidRDefault="00F0401F" w:rsidP="00E36349">
      <w:pPr>
        <w:spacing w:before="100" w:beforeAutospacing="1" w:after="100" w:afterAutospacing="1" w:line="276" w:lineRule="auto"/>
        <w:rPr>
          <w:rFonts w:cstheme="minorHAnsi"/>
        </w:rPr>
      </w:pPr>
      <w:r w:rsidRPr="00376190">
        <w:rPr>
          <w:rFonts w:cstheme="minorHAnsi"/>
        </w:rPr>
        <w:t xml:space="preserve">W dniu </w:t>
      </w:r>
      <w:r>
        <w:rPr>
          <w:rFonts w:cstheme="minorHAnsi"/>
        </w:rPr>
        <w:t xml:space="preserve">01.06.2022 r. Zamawiający dokonał wyboru najkorzystniejszej oferty złożonej przez </w:t>
      </w:r>
      <w:r w:rsidRPr="003544DC">
        <w:rPr>
          <w:rFonts w:cstheme="minorHAnsi"/>
        </w:rPr>
        <w:t xml:space="preserve">MERAZET Spółka Akcyjna, </w:t>
      </w:r>
      <w:r>
        <w:rPr>
          <w:rFonts w:cstheme="minorHAnsi"/>
        </w:rPr>
        <w:t>u</w:t>
      </w:r>
      <w:r w:rsidRPr="003544DC">
        <w:rPr>
          <w:rFonts w:cstheme="minorHAnsi"/>
        </w:rPr>
        <w:t xml:space="preserve">l. J. </w:t>
      </w:r>
      <w:proofErr w:type="spellStart"/>
      <w:r w:rsidRPr="003544DC">
        <w:rPr>
          <w:rFonts w:cstheme="minorHAnsi"/>
        </w:rPr>
        <w:t>Krauthofera</w:t>
      </w:r>
      <w:proofErr w:type="spellEnd"/>
      <w:r w:rsidRPr="003544DC">
        <w:rPr>
          <w:rFonts w:cstheme="minorHAnsi"/>
        </w:rPr>
        <w:t xml:space="preserve"> 36, 60-203 Poznań</w:t>
      </w:r>
      <w:r>
        <w:rPr>
          <w:rFonts w:cstheme="minorHAnsi"/>
        </w:rPr>
        <w:t xml:space="preserve">. Cena najkorzystniejszej oferty 298 890,00 zł </w:t>
      </w:r>
      <w:r w:rsidR="00E36349">
        <w:rPr>
          <w:rFonts w:cstheme="minorHAnsi"/>
        </w:rPr>
        <w:t>przewyższa</w:t>
      </w:r>
      <w:r>
        <w:rPr>
          <w:rFonts w:cstheme="minorHAnsi"/>
        </w:rPr>
        <w:t xml:space="preserve"> kwotę, jaką zamawiający zamierza przeznaczyć na sfinansowanie zamówienia, tj. 258 344,25 zł</w:t>
      </w:r>
      <w:r w:rsidR="00E36349">
        <w:rPr>
          <w:rFonts w:cstheme="minorHAnsi"/>
        </w:rPr>
        <w:t>.</w:t>
      </w:r>
    </w:p>
    <w:p w:rsidR="00F0401F" w:rsidRDefault="00A27A8F" w:rsidP="00E36349">
      <w:pPr>
        <w:spacing w:before="100" w:beforeAutospacing="1" w:after="100" w:afterAutospacing="1" w:line="276" w:lineRule="auto"/>
        <w:rPr>
          <w:rFonts w:cstheme="minorHAnsi"/>
        </w:rPr>
      </w:pPr>
      <w:r>
        <w:rPr>
          <w:rFonts w:cstheme="minorHAnsi"/>
        </w:rPr>
        <w:t>Wobec powyższego Z</w:t>
      </w:r>
      <w:r w:rsidR="00F0401F">
        <w:rPr>
          <w:rFonts w:cstheme="minorHAnsi"/>
        </w:rPr>
        <w:t xml:space="preserve">amawiający podjął decyzję o unieważnieniu niniejszego postępowania. </w:t>
      </w:r>
    </w:p>
    <w:p w:rsidR="00F0401F" w:rsidRDefault="00F0401F" w:rsidP="00E36349">
      <w:pPr>
        <w:pStyle w:val="Tekstpodstawowy"/>
        <w:spacing w:before="100" w:beforeAutospacing="1" w:after="100" w:afterAutospacing="1" w:line="276" w:lineRule="auto"/>
        <w:rPr>
          <w:rFonts w:asciiTheme="minorHAnsi" w:hAnsiTheme="minorHAnsi" w:cstheme="minorHAnsi"/>
          <w:szCs w:val="24"/>
        </w:rPr>
      </w:pPr>
      <w:r>
        <w:rPr>
          <w:rFonts w:asciiTheme="minorHAnsi" w:hAnsiTheme="minorHAnsi" w:cstheme="minorHAnsi"/>
          <w:szCs w:val="24"/>
        </w:rPr>
        <w:lastRenderedPageBreak/>
        <w:t>W przypadku unieważnienia postępowania o udzielenie zamówienia publicznego zamawiający niezwłocznie zawiadomi wykonawców, którzy ubiegali się o udzielenie zamówienia w tym postępowaniu, o wszczęciu kolejnego postepowania, które dotyczy tego samego przedmiotu zamówienia lub obejmuje ten sam przedmiot zamówienia.</w:t>
      </w:r>
    </w:p>
    <w:p w:rsidR="00F0401F" w:rsidRDefault="00F0401F" w:rsidP="00E36349">
      <w:pPr>
        <w:pStyle w:val="Tekstpodstawowy"/>
        <w:spacing w:before="100" w:beforeAutospacing="1" w:after="100" w:afterAutospacing="1" w:line="276" w:lineRule="auto"/>
        <w:rPr>
          <w:rFonts w:asciiTheme="minorHAnsi" w:hAnsiTheme="minorHAnsi" w:cstheme="minorHAnsi"/>
          <w:szCs w:val="24"/>
        </w:rPr>
      </w:pPr>
      <w:r>
        <w:rPr>
          <w:rFonts w:asciiTheme="minorHAnsi" w:hAnsiTheme="minorHAnsi" w:cstheme="minorHAnsi"/>
          <w:szCs w:val="24"/>
        </w:rPr>
        <w:t xml:space="preserve">Na czynność unieważnienia postępowania wykonawcy przysługują środki ochrony prawnej na zasadach przewidzianych w </w:t>
      </w:r>
      <w:r w:rsidRPr="00574672">
        <w:rPr>
          <w:rFonts w:asciiTheme="minorHAnsi" w:hAnsiTheme="minorHAnsi" w:cstheme="minorHAnsi"/>
          <w:szCs w:val="24"/>
        </w:rPr>
        <w:t xml:space="preserve">Dziale IX </w:t>
      </w:r>
      <w:r>
        <w:rPr>
          <w:rFonts w:asciiTheme="minorHAnsi" w:hAnsiTheme="minorHAnsi" w:cstheme="minorHAnsi"/>
          <w:szCs w:val="24"/>
        </w:rPr>
        <w:t xml:space="preserve">ustawy Pzp.  </w:t>
      </w:r>
    </w:p>
    <w:p w:rsidR="00811C37" w:rsidRPr="00E36349" w:rsidRDefault="00811C37" w:rsidP="00E36349">
      <w:pPr>
        <w:pStyle w:val="Tekstpodstawowy"/>
        <w:spacing w:before="100" w:beforeAutospacing="1" w:after="100" w:afterAutospacing="1" w:line="276" w:lineRule="auto"/>
        <w:rPr>
          <w:rFonts w:asciiTheme="minorHAnsi" w:hAnsiTheme="minorHAnsi" w:cstheme="minorHAnsi"/>
          <w:b/>
          <w:szCs w:val="24"/>
        </w:rPr>
      </w:pPr>
      <w:r w:rsidRPr="00E36349">
        <w:rPr>
          <w:rFonts w:asciiTheme="minorHAnsi" w:hAnsiTheme="minorHAnsi" w:cstheme="minorHAnsi"/>
          <w:b/>
          <w:szCs w:val="24"/>
        </w:rPr>
        <w:t>Stanowisko Zamawiającego potwierdza:</w:t>
      </w:r>
    </w:p>
    <w:p w:rsidR="002137A1" w:rsidRDefault="00811C37" w:rsidP="00547AAB">
      <w:pPr>
        <w:pStyle w:val="Tekstpodstawowy"/>
        <w:spacing w:line="276" w:lineRule="auto"/>
        <w:rPr>
          <w:rFonts w:asciiTheme="minorHAnsi" w:hAnsiTheme="minorHAnsi" w:cstheme="minorHAnsi"/>
          <w:szCs w:val="24"/>
        </w:rPr>
      </w:pPr>
      <w:r>
        <w:rPr>
          <w:rFonts w:asciiTheme="minorHAnsi" w:hAnsiTheme="minorHAnsi" w:cstheme="minorHAnsi"/>
          <w:szCs w:val="24"/>
        </w:rPr>
        <w:t xml:space="preserve">Prawo Zamówień Publicznych Komentarz UZP str. 764-765 </w:t>
      </w:r>
    </w:p>
    <w:p w:rsidR="00811C37" w:rsidRPr="00811C37" w:rsidRDefault="00811C37" w:rsidP="00547AAB">
      <w:pPr>
        <w:pStyle w:val="Tekstpodstawowy"/>
        <w:spacing w:line="276" w:lineRule="auto"/>
        <w:rPr>
          <w:rFonts w:ascii="Calibri" w:hAnsi="Calibri" w:cs="Calibri"/>
          <w:szCs w:val="24"/>
        </w:rPr>
      </w:pPr>
      <w:r>
        <w:rPr>
          <w:rFonts w:ascii="Calibri" w:hAnsi="Calibri" w:cs="Calibri"/>
        </w:rPr>
        <w:t>„3.</w:t>
      </w:r>
      <w:r w:rsidRPr="00811C37">
        <w:rPr>
          <w:rFonts w:ascii="Calibri" w:hAnsi="Calibri" w:cs="Calibri"/>
        </w:rPr>
        <w:t xml:space="preserve">Brak dostatecznego pokrycia finansowego. Stosownie do art. 255 pkt 3 </w:t>
      </w:r>
      <w:proofErr w:type="spellStart"/>
      <w:r w:rsidRPr="00811C37">
        <w:rPr>
          <w:rFonts w:ascii="Calibri" w:hAnsi="Calibri" w:cs="Calibri"/>
        </w:rPr>
        <w:t>Pzp</w:t>
      </w:r>
      <w:proofErr w:type="spellEnd"/>
      <w:r w:rsidRPr="00811C37">
        <w:rPr>
          <w:rFonts w:ascii="Calibri" w:hAnsi="Calibri" w:cs="Calibri"/>
        </w:rPr>
        <w:t xml:space="preserve"> zamawiający unieważnia postępowanie o udzielenie zamówienia, jeżeli cena lub koszt najkorzystniejszej oferty lub oferta z najniższą ceną przewyższa kwotę, którą zamawiający zamierza przeznaczyć na sfinansowanie zamówienia, chyba że zamawiający może zwiększyć tę kwotę do ceny lub kosztu najkorzystniejszej oferty. Celem takiego uregulowania jest ochrona zamawiającego przed roszczeniem o zawarcie umowy w przypadku braku środków finansowych.</w:t>
      </w:r>
      <w:r>
        <w:rPr>
          <w:rFonts w:ascii="Calibri" w:hAnsi="Calibri" w:cs="Calibri"/>
        </w:rPr>
        <w:t>(…)</w:t>
      </w:r>
    </w:p>
    <w:p w:rsidR="002137A1" w:rsidRPr="00574672" w:rsidRDefault="002137A1" w:rsidP="00E36349">
      <w:pPr>
        <w:pStyle w:val="Tekstpodstawowy"/>
        <w:spacing w:before="100" w:beforeAutospacing="1" w:after="100" w:afterAutospacing="1" w:line="276" w:lineRule="auto"/>
        <w:rPr>
          <w:rFonts w:asciiTheme="minorHAnsi" w:hAnsiTheme="minorHAnsi" w:cstheme="minorHAnsi"/>
          <w:szCs w:val="24"/>
        </w:rPr>
      </w:pPr>
      <w:r w:rsidRPr="002137A1">
        <w:rPr>
          <w:rFonts w:asciiTheme="minorHAnsi" w:hAnsiTheme="minorHAnsi" w:cstheme="minorHAnsi"/>
          <w:szCs w:val="24"/>
        </w:rPr>
        <w:t>Ustawodawca wyraźnie dopuścił możliwość zwiększenia kwoty p</w:t>
      </w:r>
      <w:r w:rsidR="00547AAB">
        <w:rPr>
          <w:rFonts w:asciiTheme="minorHAnsi" w:hAnsiTheme="minorHAnsi" w:cstheme="minorHAnsi"/>
          <w:szCs w:val="24"/>
        </w:rPr>
        <w:t>okrycia finansowego w związku z </w:t>
      </w:r>
      <w:r w:rsidRPr="002137A1">
        <w:rPr>
          <w:rFonts w:asciiTheme="minorHAnsi" w:hAnsiTheme="minorHAnsi" w:cstheme="minorHAnsi"/>
          <w:szCs w:val="24"/>
        </w:rPr>
        <w:t xml:space="preserve">wyborem oferty. Decyzja o zwiększeniu tej kwoty jest oparta na </w:t>
      </w:r>
      <w:r w:rsidRPr="00811C37">
        <w:rPr>
          <w:rFonts w:asciiTheme="minorHAnsi" w:hAnsiTheme="minorHAnsi" w:cstheme="minorHAnsi"/>
          <w:b/>
          <w:szCs w:val="24"/>
        </w:rPr>
        <w:t>swobodnym uznaniu</w:t>
      </w:r>
      <w:r w:rsidRPr="002137A1">
        <w:rPr>
          <w:rFonts w:asciiTheme="minorHAnsi" w:hAnsiTheme="minorHAnsi" w:cstheme="minorHAnsi"/>
          <w:szCs w:val="24"/>
        </w:rPr>
        <w:t xml:space="preserve"> zamawiającego. Wyrażenie „może zwiększyć tę kwotę do ceny lub kosztu najkorzystniejszej oferty” należy interpretować jako uprawnienie zamawiającego i to do jego decyzji należy kwestia możliwości zwiększenia środków finansowych na dany cel. Zatem zamawiający nie ma obowiązku poszukiwania dodatkowych środków finansowych na sfinansowanie zamówienia ponad kwotę, którą zamierza przeznaczyć na sfinansowanie zamówienia. Postępowanie unieważnia się, jeżeli cena lub koszt najkorzystniejszej oferty przewyższa kwotę, jaką zamawiający zamierza przeznaczyć na sfinansowanie zamówienia. W tym wypadku czynność unieważnienia następuje dopiero po dokonaniu wyboru najkorzystniejszej oferty. W takim wypadku musi najpierw dojść do wyboru najkorzystniejszej oferty.</w:t>
      </w:r>
      <w:r>
        <w:rPr>
          <w:rFonts w:asciiTheme="minorHAnsi" w:hAnsiTheme="minorHAnsi" w:cstheme="minorHAnsi"/>
          <w:szCs w:val="24"/>
        </w:rPr>
        <w:t>”</w:t>
      </w:r>
    </w:p>
    <w:p w:rsidR="002F0524" w:rsidRDefault="00811C37" w:rsidP="00E36349">
      <w:pPr>
        <w:pStyle w:val="Tekstpodstawowy"/>
        <w:spacing w:before="100" w:beforeAutospacing="1" w:after="100" w:afterAutospacing="1" w:line="276" w:lineRule="auto"/>
        <w:jc w:val="both"/>
        <w:rPr>
          <w:rFonts w:ascii="Times New Roman" w:hAnsi="Times New Roman"/>
          <w:szCs w:val="24"/>
        </w:rPr>
      </w:pPr>
      <w:r>
        <w:rPr>
          <w:rFonts w:ascii="Times New Roman" w:hAnsi="Times New Roman"/>
          <w:szCs w:val="24"/>
        </w:rPr>
        <w:t xml:space="preserve">oraz </w:t>
      </w:r>
    </w:p>
    <w:p w:rsidR="00811C37" w:rsidRPr="00E36349" w:rsidRDefault="00811C37" w:rsidP="00E36349">
      <w:pPr>
        <w:shd w:val="clear" w:color="auto" w:fill="FFFFFF"/>
        <w:spacing w:before="120" w:after="240" w:line="276" w:lineRule="auto"/>
        <w:rPr>
          <w:rFonts w:ascii="Calibri" w:hAnsi="Calibri" w:cs="Calibri"/>
          <w:color w:val="333333"/>
          <w:lang w:eastAsia="pl-PL"/>
        </w:rPr>
      </w:pPr>
      <w:r w:rsidRPr="00E36349">
        <w:rPr>
          <w:rFonts w:ascii="Calibri" w:hAnsi="Calibri" w:cs="Calibri"/>
          <w:color w:val="333333"/>
          <w:lang w:eastAsia="pl-PL"/>
        </w:rPr>
        <w:t>Zgodnie z wyrokiem KIO z 25.06.2020 r</w:t>
      </w:r>
      <w:r w:rsidRPr="00547AAB">
        <w:rPr>
          <w:rFonts w:ascii="Calibri" w:hAnsi="Calibri" w:cs="Calibri"/>
          <w:lang w:eastAsia="pl-PL"/>
        </w:rPr>
        <w:t>., </w:t>
      </w:r>
      <w:hyperlink r:id="rId6" w:anchor="/document/539900138?cm=DOCUMENT" w:tgtFrame="_blank" w:history="1">
        <w:r w:rsidRPr="00547AAB">
          <w:rPr>
            <w:rStyle w:val="Hipercze"/>
            <w:rFonts w:ascii="Calibri" w:hAnsi="Calibri" w:cs="Calibri"/>
            <w:color w:val="auto"/>
            <w:u w:val="none"/>
            <w:lang w:eastAsia="pl-PL"/>
          </w:rPr>
          <w:t>KIO 672/20</w:t>
        </w:r>
      </w:hyperlink>
      <w:r w:rsidRPr="00547AAB">
        <w:rPr>
          <w:rFonts w:ascii="Calibri" w:hAnsi="Calibri" w:cs="Calibri"/>
          <w:lang w:eastAsia="pl-PL"/>
        </w:rPr>
        <w:t xml:space="preserve">, </w:t>
      </w:r>
      <w:r w:rsidRPr="00E36349">
        <w:rPr>
          <w:rFonts w:ascii="Calibri" w:hAnsi="Calibri" w:cs="Calibri"/>
          <w:color w:val="333333"/>
          <w:lang w:eastAsia="pl-PL"/>
        </w:rPr>
        <w:t>uznać należy "za doktryną i orzecznictwem (…), że zamawiający jest dysponentem środków finansowych i decydentem odnośnie wydatkowania tych środków, przy czym decyzja odnośnie zwiększenia kwoty przeznaczonej nie musi być uzewnętrzniona w sformalizowany sposób. Zamawiający (co już zauważono) nie ma obowiązku poszukiwania źródeł finansowania ponad kwoty, k</w:t>
      </w:r>
      <w:r w:rsidR="00547AAB">
        <w:rPr>
          <w:rFonts w:ascii="Calibri" w:hAnsi="Calibri" w:cs="Calibri"/>
          <w:color w:val="333333"/>
          <w:lang w:eastAsia="pl-PL"/>
        </w:rPr>
        <w:t>tóre pierwotnie zabezpieczył, w </w:t>
      </w:r>
      <w:r w:rsidRPr="00E36349">
        <w:rPr>
          <w:rFonts w:ascii="Calibri" w:hAnsi="Calibri" w:cs="Calibri"/>
          <w:color w:val="333333"/>
          <w:lang w:eastAsia="pl-PL"/>
        </w:rPr>
        <w:t>celu wyboru oferty najkorzystniejszej i zapobieżeniu unieważnieniu postępowania."</w:t>
      </w:r>
    </w:p>
    <w:p w:rsidR="003D4716" w:rsidRPr="003D4716" w:rsidRDefault="003D4716" w:rsidP="003D4716">
      <w:pPr>
        <w:spacing w:line="276" w:lineRule="auto"/>
        <w:rPr>
          <w:rFonts w:ascii="Calibri" w:hAnsi="Calibri" w:cs="Calibri"/>
          <w:sz w:val="22"/>
          <w:szCs w:val="22"/>
        </w:rPr>
      </w:pPr>
      <w:r w:rsidRPr="003D4716">
        <w:rPr>
          <w:rFonts w:ascii="Calibri" w:hAnsi="Calibri" w:cs="Calibri"/>
          <w:sz w:val="22"/>
          <w:szCs w:val="22"/>
        </w:rPr>
        <w:t>Z upoważnienia Zarządu Województwa Opolskiego</w:t>
      </w:r>
    </w:p>
    <w:p w:rsidR="003D4716" w:rsidRPr="003D4716" w:rsidRDefault="003D4716" w:rsidP="003D4716">
      <w:pPr>
        <w:spacing w:line="276" w:lineRule="auto"/>
        <w:rPr>
          <w:rFonts w:ascii="Calibri" w:hAnsi="Calibri" w:cs="Calibri"/>
          <w:sz w:val="22"/>
          <w:szCs w:val="22"/>
        </w:rPr>
      </w:pPr>
      <w:r w:rsidRPr="003D4716">
        <w:rPr>
          <w:rFonts w:ascii="Calibri" w:hAnsi="Calibri" w:cs="Calibri"/>
          <w:sz w:val="22"/>
          <w:szCs w:val="22"/>
        </w:rPr>
        <w:t>/podpis nieczytelny/</w:t>
      </w:r>
    </w:p>
    <w:p w:rsidR="003D4716" w:rsidRPr="003D4716" w:rsidRDefault="003D4716" w:rsidP="003D4716">
      <w:pPr>
        <w:spacing w:line="276" w:lineRule="auto"/>
        <w:rPr>
          <w:rFonts w:ascii="Calibri" w:hAnsi="Calibri" w:cs="Calibri"/>
          <w:sz w:val="22"/>
          <w:szCs w:val="22"/>
        </w:rPr>
      </w:pPr>
      <w:r w:rsidRPr="003D4716">
        <w:rPr>
          <w:rFonts w:ascii="Calibri" w:hAnsi="Calibri" w:cs="Calibri"/>
          <w:sz w:val="22"/>
          <w:szCs w:val="22"/>
        </w:rPr>
        <w:t>Marcin Puszcz</w:t>
      </w:r>
    </w:p>
    <w:p w:rsidR="00547AAB" w:rsidRPr="00E36349" w:rsidRDefault="003D4716" w:rsidP="003D4716">
      <w:pPr>
        <w:spacing w:line="276" w:lineRule="auto"/>
        <w:rPr>
          <w:rFonts w:ascii="Calibri" w:hAnsi="Calibri" w:cs="Calibri"/>
        </w:rPr>
      </w:pPr>
      <w:r w:rsidRPr="003D4716">
        <w:rPr>
          <w:rFonts w:ascii="Calibri" w:hAnsi="Calibri" w:cs="Calibri"/>
          <w:sz w:val="22"/>
          <w:szCs w:val="22"/>
        </w:rPr>
        <w:t xml:space="preserve">Dyrektor Departamentu </w:t>
      </w:r>
      <w:proofErr w:type="spellStart"/>
      <w:r w:rsidRPr="003D4716">
        <w:rPr>
          <w:rFonts w:ascii="Calibri" w:hAnsi="Calibri" w:cs="Calibri"/>
          <w:sz w:val="22"/>
          <w:szCs w:val="22"/>
        </w:rPr>
        <w:t>Organizacyjno</w:t>
      </w:r>
      <w:proofErr w:type="spellEnd"/>
      <w:r w:rsidRPr="003D4716">
        <w:rPr>
          <w:rFonts w:ascii="Calibri" w:hAnsi="Calibri" w:cs="Calibri"/>
          <w:sz w:val="22"/>
          <w:szCs w:val="22"/>
        </w:rPr>
        <w:t xml:space="preserve"> - Administracyjnego</w:t>
      </w:r>
    </w:p>
    <w:p w:rsidR="00574672" w:rsidRPr="00AA5C9E" w:rsidRDefault="00574672" w:rsidP="003D4716">
      <w:pPr>
        <w:jc w:val="both"/>
        <w:rPr>
          <w:rFonts w:ascii="Calibri" w:eastAsia="Times New Roman" w:hAnsi="Calibri" w:cs="Calibri"/>
        </w:rPr>
      </w:pPr>
      <w:r w:rsidRPr="00AA5C9E">
        <w:rPr>
          <w:rFonts w:ascii="Calibri" w:eastAsia="Times New Roman" w:hAnsi="Calibri" w:cs="Calibri"/>
        </w:rPr>
        <w:t>……………………………………….…………………</w:t>
      </w:r>
      <w:r w:rsidR="00547AAB">
        <w:rPr>
          <w:rFonts w:ascii="Calibri" w:eastAsia="Times New Roman" w:hAnsi="Calibri" w:cs="Calibri"/>
        </w:rPr>
        <w:t>…………….</w:t>
      </w:r>
      <w:r w:rsidRPr="00AA5C9E">
        <w:rPr>
          <w:rFonts w:ascii="Calibri" w:eastAsia="Times New Roman" w:hAnsi="Calibri" w:cs="Calibri"/>
        </w:rPr>
        <w:t>……</w:t>
      </w:r>
    </w:p>
    <w:p w:rsidR="007512CD" w:rsidRDefault="00574672" w:rsidP="003D4716">
      <w:pPr>
        <w:pStyle w:val="Tekstpodstawowy"/>
      </w:pPr>
      <w:bookmarkStart w:id="0" w:name="_GoBack"/>
      <w:bookmarkEnd w:id="0"/>
      <w:r w:rsidRPr="00AA5C9E">
        <w:rPr>
          <w:rFonts w:ascii="Calibri" w:hAnsi="Calibri" w:cs="Calibri"/>
          <w:szCs w:val="24"/>
        </w:rPr>
        <w:t>Ki</w:t>
      </w:r>
      <w:r w:rsidR="00AA5C9E">
        <w:rPr>
          <w:rFonts w:ascii="Calibri" w:hAnsi="Calibri" w:cs="Calibri"/>
          <w:szCs w:val="24"/>
        </w:rPr>
        <w:t xml:space="preserve">erownik Zamawiającego lub osoba </w:t>
      </w:r>
      <w:r w:rsidRPr="00AA5C9E">
        <w:rPr>
          <w:rFonts w:ascii="Calibri" w:hAnsi="Calibri" w:cs="Calibri"/>
          <w:szCs w:val="24"/>
        </w:rPr>
        <w:t>upoważniona</w:t>
      </w:r>
      <w:r w:rsidR="00AA5C9E">
        <w:rPr>
          <w:rFonts w:ascii="Calibri" w:hAnsi="Calibri" w:cs="Calibri"/>
          <w:szCs w:val="24"/>
        </w:rPr>
        <w:t xml:space="preserve"> </w:t>
      </w:r>
      <w:r w:rsidR="00AA5C9E">
        <w:rPr>
          <w:rFonts w:ascii="Calibri" w:hAnsi="Calibri" w:cs="Calibri"/>
          <w:szCs w:val="24"/>
        </w:rPr>
        <w:br/>
      </w:r>
      <w:r w:rsidR="0086618B" w:rsidRPr="00AA5C9E">
        <w:rPr>
          <w:rFonts w:ascii="Calibri" w:hAnsi="Calibri" w:cs="Calibri"/>
          <w:szCs w:val="24"/>
        </w:rPr>
        <w:t>d</w:t>
      </w:r>
      <w:r w:rsidRPr="00AA5C9E">
        <w:rPr>
          <w:rFonts w:ascii="Calibri" w:hAnsi="Calibri" w:cs="Calibri"/>
          <w:szCs w:val="24"/>
        </w:rPr>
        <w:t>o podejmowania czynności w jego imieniu</w:t>
      </w:r>
    </w:p>
    <w:sectPr w:rsidR="007512CD" w:rsidSect="00E36349">
      <w:pgSz w:w="11906" w:h="16838"/>
      <w:pgMar w:top="993"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E5CDD"/>
    <w:multiLevelType w:val="hybridMultilevel"/>
    <w:tmpl w:val="61F45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D1"/>
    <w:rsid w:val="001008CC"/>
    <w:rsid w:val="00144AE4"/>
    <w:rsid w:val="001C4356"/>
    <w:rsid w:val="001C4CF2"/>
    <w:rsid w:val="001E3E53"/>
    <w:rsid w:val="002137A1"/>
    <w:rsid w:val="00283AE3"/>
    <w:rsid w:val="002F0524"/>
    <w:rsid w:val="003824D1"/>
    <w:rsid w:val="003D4716"/>
    <w:rsid w:val="00432D13"/>
    <w:rsid w:val="00433BE5"/>
    <w:rsid w:val="00450B2C"/>
    <w:rsid w:val="00484225"/>
    <w:rsid w:val="004D4ABB"/>
    <w:rsid w:val="0050384B"/>
    <w:rsid w:val="00547AAB"/>
    <w:rsid w:val="00574672"/>
    <w:rsid w:val="006864F8"/>
    <w:rsid w:val="00706BC8"/>
    <w:rsid w:val="007461C3"/>
    <w:rsid w:val="007512CD"/>
    <w:rsid w:val="00781711"/>
    <w:rsid w:val="007C1960"/>
    <w:rsid w:val="007D23CE"/>
    <w:rsid w:val="007F5963"/>
    <w:rsid w:val="00811C37"/>
    <w:rsid w:val="00820D96"/>
    <w:rsid w:val="0086618B"/>
    <w:rsid w:val="0097658B"/>
    <w:rsid w:val="00A27A8F"/>
    <w:rsid w:val="00A422D1"/>
    <w:rsid w:val="00A837B7"/>
    <w:rsid w:val="00AA5C9E"/>
    <w:rsid w:val="00AC0256"/>
    <w:rsid w:val="00AC733E"/>
    <w:rsid w:val="00AF7A86"/>
    <w:rsid w:val="00C231D2"/>
    <w:rsid w:val="00C37A4F"/>
    <w:rsid w:val="00CC720D"/>
    <w:rsid w:val="00D834D9"/>
    <w:rsid w:val="00E36349"/>
    <w:rsid w:val="00EA102C"/>
    <w:rsid w:val="00EC41AC"/>
    <w:rsid w:val="00F0401F"/>
    <w:rsid w:val="00FF5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D5184-6CCD-46E6-9760-E31C6C3A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0524"/>
    <w:pPr>
      <w:spacing w:before="0" w:beforeAutospacing="0" w:after="0" w:afterAutospacing="0" w:line="240" w:lineRule="auto"/>
      <w:jc w:val="left"/>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F0524"/>
    <w:rPr>
      <w:rFonts w:ascii="Courier New" w:eastAsia="Times New Roman" w:hAnsi="Courier New" w:cs="Times New Roman"/>
      <w:szCs w:val="20"/>
      <w:lang w:eastAsia="pl-PL"/>
    </w:rPr>
  </w:style>
  <w:style w:type="character" w:customStyle="1" w:styleId="TekstpodstawowyZnak">
    <w:name w:val="Tekst podstawowy Znak"/>
    <w:basedOn w:val="Domylnaczcionkaakapitu"/>
    <w:link w:val="Tekstpodstawowy"/>
    <w:rsid w:val="002F0524"/>
    <w:rPr>
      <w:rFonts w:ascii="Courier New" w:eastAsia="Times New Roman" w:hAnsi="Courier New" w:cs="Times New Roman"/>
      <w:sz w:val="24"/>
      <w:szCs w:val="20"/>
      <w:lang w:eastAsia="pl-PL"/>
    </w:rPr>
  </w:style>
  <w:style w:type="paragraph" w:styleId="Akapitzlist">
    <w:name w:val="List Paragraph"/>
    <w:aliases w:val="L1,Numerowanie,2 heading,A_wyliczenie,K-P_odwolanie,Akapit z listą5,maz_wyliczenie,opis dzialania,CW_Lista"/>
    <w:basedOn w:val="Normalny"/>
    <w:link w:val="AkapitzlistZnak"/>
    <w:uiPriority w:val="34"/>
    <w:qFormat/>
    <w:rsid w:val="00574672"/>
    <w:pPr>
      <w:spacing w:after="200" w:line="276" w:lineRule="auto"/>
      <w:ind w:left="720"/>
      <w:contextualSpacing/>
    </w:pPr>
    <w:rPr>
      <w:sz w:val="22"/>
      <w:szCs w:val="22"/>
    </w:rPr>
  </w:style>
  <w:style w:type="character" w:customStyle="1" w:styleId="AkapitzlistZnak">
    <w:name w:val="Akapit z listą Znak"/>
    <w:aliases w:val="L1 Znak,Numerowanie Znak,2 heading Znak,A_wyliczenie Znak,K-P_odwolanie Znak,Akapit z listą5 Znak,maz_wyliczenie Znak,opis dzialania Znak,CW_Lista Znak"/>
    <w:link w:val="Akapitzlist"/>
    <w:uiPriority w:val="34"/>
    <w:qFormat/>
    <w:rsid w:val="00574672"/>
  </w:style>
  <w:style w:type="table" w:styleId="Tabela-Siatka">
    <w:name w:val="Table Grid"/>
    <w:basedOn w:val="Standardowy"/>
    <w:uiPriority w:val="59"/>
    <w:rsid w:val="00574672"/>
    <w:pPr>
      <w:spacing w:before="0" w:beforeAutospacing="0" w:after="0" w:afterAutospacing="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FF546D"/>
    <w:rPr>
      <w:color w:val="0000FF"/>
      <w:u w:val="single"/>
    </w:rPr>
  </w:style>
  <w:style w:type="paragraph" w:styleId="Tekstdymka">
    <w:name w:val="Balloon Text"/>
    <w:basedOn w:val="Normalny"/>
    <w:link w:val="TekstdymkaZnak"/>
    <w:uiPriority w:val="99"/>
    <w:semiHidden/>
    <w:unhideWhenUsed/>
    <w:rsid w:val="00C231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654</Words>
  <Characters>3926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Choroszczak-Magiera</dc:creator>
  <cp:keywords/>
  <dc:description/>
  <cp:lastModifiedBy>AGNIESZKA MŁYNARCZYK</cp:lastModifiedBy>
  <cp:revision>17</cp:revision>
  <cp:lastPrinted>2021-12-08T10:38:00Z</cp:lastPrinted>
  <dcterms:created xsi:type="dcterms:W3CDTF">2021-12-06T10:51:00Z</dcterms:created>
  <dcterms:modified xsi:type="dcterms:W3CDTF">2022-06-27T07:55:00Z</dcterms:modified>
</cp:coreProperties>
</file>